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(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 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3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19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داف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وبالص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رورا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...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بفارغ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صابا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ً...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َ...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َ.</w:t>
      </w:r>
    </w:p>
    <w:p w:rsidR="00000000" w:rsidDel="00000000" w:rsidP="00000000" w:rsidRDefault="00000000" w:rsidRPr="00000000" w14:paraId="0000001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لامات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ولدي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فالإراد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ِ...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والاجتهاد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 </w:t>
      </w:r>
    </w:p>
    <w:tbl>
      <w:tblPr>
        <w:tblStyle w:val="Table4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1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الإعاقة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أصيب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الطفل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: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سمعية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بصرية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حركية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قابل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التلاميذ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أحمد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المدرسة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لأول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: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الشفقة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بالرعاية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والحب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بالسخرية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والاستهزاء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متفوقا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الرياضيات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المحاسبة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العلوم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D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السر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وراء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رغم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للمعلم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أثر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كبير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.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وضح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2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6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4"/>
        <w:gridCol w:w="2835"/>
        <w:gridCol w:w="3824"/>
        <w:tblGridChange w:id="0">
          <w:tblGrid>
            <w:gridCol w:w="3524"/>
            <w:gridCol w:w="2835"/>
            <w:gridCol w:w="382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أكرم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كارم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كر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ِ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ُ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كر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َ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تشتمل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يعاملوك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رأيت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النظافة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ينفع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المجتمع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أعلم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نفوسكم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تكونوا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صالحين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فإنه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للأوبين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غفورا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صالحين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للأوبين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غفورا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جلس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المريض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متألما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جلس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المريض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وهو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متألم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جلس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المريض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ألم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ماشيا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المفرد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الماشي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وهو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يمشي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يمشي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شربت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باردا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صاحب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الحال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شربت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اللبن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باردا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13"/>
        <w:gridCol w:w="3404"/>
        <w:gridCol w:w="3966"/>
        <w:tblGridChange w:id="0">
          <w:tblGrid>
            <w:gridCol w:w="2813"/>
            <w:gridCol w:w="3404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واليوم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الموعود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وشاهد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ومشهود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قتل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الأخدود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طلبي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تهديد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أمثلة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0"/>
              </w:rPr>
              <w:t xml:space="preserve">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يدعو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دار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السلام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معكم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والله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إنك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لصادق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ايم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لأكرمنك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.          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هنا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حرف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1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8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1"/>
        <w:gridCol w:w="3261"/>
        <w:gridCol w:w="3401"/>
        <w:tblGridChange w:id="0">
          <w:tblGrid>
            <w:gridCol w:w="3521"/>
            <w:gridCol w:w="3261"/>
            <w:gridCol w:w="340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2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اللينة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دعا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أصلها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أصلها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واو</w:t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لأن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أصلها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ألف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جرا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  "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سعى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غدا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الفعلين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br w:type="textWrapping"/>
        <w:t xml:space="preserve"> </w:t>
      </w:r>
    </w:p>
    <w:p w:rsidR="00000000" w:rsidDel="00000000" w:rsidP="00000000" w:rsidRDefault="00000000" w:rsidRPr="00000000" w14:paraId="00000098">
      <w:pPr>
        <w:bidi w:val="1"/>
        <w:spacing w:after="0" w:lineRule="auto"/>
        <w:jc w:val="center"/>
        <w:rPr>
          <w:b w:val="1"/>
          <w:sz w:val="42"/>
          <w:szCs w:val="42"/>
        </w:rPr>
      </w:pPr>
      <w:bookmarkStart w:colFirst="0" w:colLast="0" w:name="_tyjcwt" w:id="5"/>
      <w:bookmarkEnd w:id="5"/>
      <w:r w:rsidDel="00000000" w:rsidR="00000000" w:rsidRPr="00000000">
        <w:rPr>
          <w:b w:val="1"/>
          <w:sz w:val="42"/>
          <w:szCs w:val="42"/>
          <w:rtl w:val="1"/>
        </w:rPr>
        <w:t xml:space="preserve">لولا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الله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ما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اهتدينا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ولا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تصدقنا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ولا</w:t>
      </w:r>
      <w:r w:rsidDel="00000000" w:rsidR="00000000" w:rsidRPr="00000000">
        <w:rPr>
          <w:b w:val="1"/>
          <w:sz w:val="42"/>
          <w:szCs w:val="42"/>
          <w:rtl w:val="1"/>
        </w:rPr>
        <w:t xml:space="preserve"> </w:t>
      </w:r>
      <w:r w:rsidDel="00000000" w:rsidR="00000000" w:rsidRPr="00000000">
        <w:rPr>
          <w:b w:val="1"/>
          <w:sz w:val="42"/>
          <w:szCs w:val="42"/>
          <w:rtl w:val="1"/>
        </w:rPr>
        <w:t xml:space="preserve">صلينا</w:t>
      </w:r>
    </w:p>
    <w:p w:rsidR="00000000" w:rsidDel="00000000" w:rsidP="00000000" w:rsidRDefault="00000000" w:rsidRPr="00000000" w14:paraId="0000009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9C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9D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إعداد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موقع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منهجي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ff0000"/>
          <w:sz w:val="26"/>
          <w:szCs w:val="26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jc w:val="center"/>
        <w:rPr>
          <w:b w:val="1"/>
          <w:sz w:val="26"/>
          <w:szCs w:val="26"/>
        </w:rPr>
      </w:pPr>
      <w:hyperlink r:id="rId7">
        <w:r w:rsidDel="00000000" w:rsidR="00000000" w:rsidRPr="00000000">
          <w:rPr>
            <w:b w:val="1"/>
            <w:color w:val="0563c1"/>
            <w:sz w:val="26"/>
            <w:szCs w:val="26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nhaj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